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9339A" w14:textId="56AA3242" w:rsidR="001E7E49" w:rsidRPr="00F12F60" w:rsidRDefault="001E7E49" w:rsidP="00F12F60">
      <w:pPr>
        <w:pBdr>
          <w:bottom w:val="single" w:sz="12" w:space="3" w:color="auto"/>
        </w:pBdr>
        <w:spacing w:before="240" w:after="240"/>
        <w:rPr>
          <w:rFonts w:ascii="Arial" w:hAnsi="Arial" w:cs="Arial"/>
          <w:b/>
          <w:caps/>
          <w:sz w:val="28"/>
          <w:szCs w:val="28"/>
          <w:lang w:val="en-GB"/>
        </w:rPr>
      </w:pPr>
      <w:bookmarkStart w:id="0" w:name="_Hlk26956335"/>
      <w:r w:rsidRPr="00F12F60">
        <w:rPr>
          <w:rFonts w:ascii="Arial" w:hAnsi="Arial" w:cs="Arial"/>
          <w:b/>
          <w:caps/>
          <w:lang w:val="en-GB"/>
        </w:rPr>
        <w:t>The board</w:t>
      </w:r>
      <w:r w:rsidR="0014370C" w:rsidRPr="00F12F60">
        <w:rPr>
          <w:rFonts w:ascii="Arial" w:hAnsi="Arial" w:cs="Arial"/>
          <w:b/>
          <w:caps/>
          <w:lang w:val="en-GB"/>
        </w:rPr>
        <w:t xml:space="preserve"> of director</w:t>
      </w:r>
      <w:r w:rsidR="00E82499" w:rsidRPr="00F12F60">
        <w:rPr>
          <w:rFonts w:ascii="Arial" w:hAnsi="Arial" w:cs="Arial"/>
          <w:b/>
          <w:caps/>
          <w:lang w:val="en-GB"/>
        </w:rPr>
        <w:t>S</w:t>
      </w:r>
      <w:r w:rsidR="009E1B26" w:rsidRPr="00F12F60">
        <w:rPr>
          <w:rFonts w:ascii="Arial" w:hAnsi="Arial" w:cs="Arial"/>
          <w:b/>
          <w:caps/>
          <w:lang w:val="en-GB"/>
        </w:rPr>
        <w:t>’</w:t>
      </w:r>
      <w:r w:rsidRPr="00F12F60">
        <w:rPr>
          <w:rFonts w:ascii="Arial" w:hAnsi="Arial" w:cs="Arial"/>
          <w:b/>
          <w:caps/>
          <w:lang w:val="en-GB"/>
        </w:rPr>
        <w:t xml:space="preserve"> </w:t>
      </w:r>
      <w:r w:rsidR="001A3215" w:rsidRPr="00F12F60">
        <w:rPr>
          <w:rFonts w:ascii="Arial" w:hAnsi="Arial" w:cs="Arial"/>
          <w:b/>
          <w:caps/>
          <w:lang w:val="en-GB"/>
        </w:rPr>
        <w:t>PROPOSAL FOR A</w:t>
      </w:r>
      <w:bookmarkEnd w:id="0"/>
      <w:r w:rsidR="00F12F60" w:rsidRPr="00F12F60">
        <w:rPr>
          <w:rFonts w:ascii="Arial" w:hAnsi="Arial" w:cs="Arial"/>
          <w:b/>
          <w:caps/>
          <w:lang w:val="en-GB"/>
        </w:rPr>
        <w:t xml:space="preserve"> </w:t>
      </w:r>
      <w:r w:rsidR="002A2729" w:rsidRPr="002A2729">
        <w:rPr>
          <w:rFonts w:ascii="Arial" w:hAnsi="Arial" w:cs="Arial"/>
          <w:b/>
          <w:caps/>
          <w:lang w:val="en-GB"/>
        </w:rPr>
        <w:t>Resolution on adoption of guidelines for remuneration to senior executives</w:t>
      </w:r>
    </w:p>
    <w:p w14:paraId="10154E6B" w14:textId="1E5FB994" w:rsidR="002A2729" w:rsidRPr="002A2729" w:rsidRDefault="002A2729" w:rsidP="002A2729">
      <w:pPr>
        <w:jc w:val="both"/>
        <w:rPr>
          <w:rFonts w:ascii="Arial" w:hAnsi="Arial" w:cs="Arial"/>
          <w:sz w:val="20"/>
          <w:lang w:val="en-US"/>
        </w:rPr>
      </w:pPr>
      <w:bookmarkStart w:id="1" w:name="_Hlk167294454"/>
      <w:r w:rsidRPr="002A2729">
        <w:rPr>
          <w:rFonts w:ascii="Arial" w:hAnsi="Arial" w:cs="Arial"/>
          <w:sz w:val="20"/>
          <w:lang w:val="en-US"/>
        </w:rPr>
        <w:t>The board of directors proposes that the general meeting resolves to adopt the following guidelines for salary and other remunerations to the executive management. Executive management refers to the CEO and other members of the group management. The guidelines shall apply to remuneration agreed and amendments to remuneration already agreed, after the adoption of the guidelines by the annual general meeting 2024. These guidelines do not apply to any remuneration decided by the general meeting, including long-term employee stock options programs and warrants.</w:t>
      </w:r>
    </w:p>
    <w:p w14:paraId="1C6E14F9" w14:textId="77777777" w:rsidR="002A2729" w:rsidRPr="002A2729" w:rsidRDefault="002A2729" w:rsidP="002A2729">
      <w:pPr>
        <w:spacing w:line="276" w:lineRule="auto"/>
        <w:jc w:val="both"/>
        <w:rPr>
          <w:rFonts w:ascii="Arial" w:hAnsi="Arial" w:cs="Arial"/>
          <w:sz w:val="20"/>
          <w:lang w:val="en-US"/>
        </w:rPr>
      </w:pPr>
    </w:p>
    <w:p w14:paraId="46274D7A" w14:textId="77777777" w:rsidR="002A2729" w:rsidRPr="002A2729" w:rsidRDefault="002A2729" w:rsidP="002A2729">
      <w:pPr>
        <w:spacing w:line="276" w:lineRule="auto"/>
        <w:jc w:val="both"/>
        <w:rPr>
          <w:rFonts w:ascii="Arial" w:hAnsi="Arial" w:cs="Arial"/>
          <w:sz w:val="20"/>
          <w:lang w:val="en-US"/>
        </w:rPr>
      </w:pPr>
      <w:r w:rsidRPr="002A2729">
        <w:rPr>
          <w:rFonts w:ascii="Arial" w:hAnsi="Arial" w:cs="Arial"/>
          <w:sz w:val="20"/>
          <w:lang w:val="en-US"/>
        </w:rPr>
        <w:t xml:space="preserve">For employments governed by rules other than Swedish, appropriate adjustments may be made for the purpose of complying with mandatory rules or established local practice, </w:t>
      </w:r>
      <w:proofErr w:type="gramStart"/>
      <w:r w:rsidRPr="002A2729">
        <w:rPr>
          <w:rFonts w:ascii="Arial" w:hAnsi="Arial" w:cs="Arial"/>
          <w:sz w:val="20"/>
          <w:lang w:val="en-US"/>
        </w:rPr>
        <w:t>taking into account</w:t>
      </w:r>
      <w:proofErr w:type="gramEnd"/>
      <w:r w:rsidRPr="002A2729">
        <w:rPr>
          <w:rFonts w:ascii="Arial" w:hAnsi="Arial" w:cs="Arial"/>
          <w:sz w:val="20"/>
          <w:lang w:val="en-US"/>
        </w:rPr>
        <w:t>, to the extent possible, the overall purpose of these guidelines.</w:t>
      </w:r>
    </w:p>
    <w:p w14:paraId="6CD423EC" w14:textId="77777777" w:rsidR="002A2729" w:rsidRPr="002A2729" w:rsidRDefault="002A2729" w:rsidP="002A2729">
      <w:pPr>
        <w:spacing w:line="276" w:lineRule="auto"/>
        <w:jc w:val="both"/>
        <w:rPr>
          <w:rFonts w:ascii="Arial" w:hAnsi="Arial" w:cs="Arial"/>
          <w:sz w:val="20"/>
          <w:lang w:val="en-US"/>
        </w:rPr>
      </w:pPr>
    </w:p>
    <w:p w14:paraId="21731670" w14:textId="77777777" w:rsidR="002A2729" w:rsidRPr="002A2729" w:rsidRDefault="002A2729" w:rsidP="002A2729">
      <w:pPr>
        <w:spacing w:line="276" w:lineRule="auto"/>
        <w:jc w:val="both"/>
        <w:rPr>
          <w:rFonts w:ascii="Arial" w:hAnsi="Arial" w:cs="Arial"/>
          <w:b/>
          <w:bCs/>
          <w:i/>
          <w:iCs/>
          <w:sz w:val="20"/>
          <w:lang w:val="en-US"/>
        </w:rPr>
      </w:pPr>
      <w:r w:rsidRPr="002A2729">
        <w:rPr>
          <w:rFonts w:ascii="Arial" w:hAnsi="Arial" w:cs="Arial"/>
          <w:b/>
          <w:bCs/>
          <w:i/>
          <w:iCs/>
          <w:sz w:val="20"/>
          <w:lang w:val="en-US"/>
        </w:rPr>
        <w:t xml:space="preserve">The guidelines' promotion of the company's business strategy, long-term </w:t>
      </w:r>
      <w:proofErr w:type="gramStart"/>
      <w:r w:rsidRPr="002A2729">
        <w:rPr>
          <w:rFonts w:ascii="Arial" w:hAnsi="Arial" w:cs="Arial"/>
          <w:b/>
          <w:bCs/>
          <w:i/>
          <w:iCs/>
          <w:sz w:val="20"/>
          <w:lang w:val="en-US"/>
        </w:rPr>
        <w:t>interests</w:t>
      </w:r>
      <w:proofErr w:type="gramEnd"/>
      <w:r w:rsidRPr="002A2729">
        <w:rPr>
          <w:rFonts w:ascii="Arial" w:hAnsi="Arial" w:cs="Arial"/>
          <w:b/>
          <w:bCs/>
          <w:i/>
          <w:iCs/>
          <w:sz w:val="20"/>
          <w:lang w:val="en-US"/>
        </w:rPr>
        <w:t xml:space="preserve"> and sustainability</w:t>
      </w:r>
    </w:p>
    <w:p w14:paraId="57308A59" w14:textId="77777777" w:rsidR="002A2729" w:rsidRPr="002A2729" w:rsidRDefault="002A2729" w:rsidP="002A2729">
      <w:pPr>
        <w:spacing w:line="276" w:lineRule="auto"/>
        <w:jc w:val="both"/>
        <w:rPr>
          <w:rFonts w:ascii="Arial" w:hAnsi="Arial" w:cs="Arial"/>
          <w:sz w:val="20"/>
          <w:lang w:val="en-US"/>
        </w:rPr>
      </w:pPr>
      <w:r w:rsidRPr="002A2729">
        <w:rPr>
          <w:rFonts w:ascii="Arial" w:hAnsi="Arial" w:cs="Arial"/>
          <w:sz w:val="20"/>
          <w:lang w:val="en-US"/>
        </w:rPr>
        <w:t xml:space="preserve">A prerequisite for the successful implementation of the company's business strategy and safeguarding of its long-term interests, including its sustainability agenda, is that the company </w:t>
      </w:r>
      <w:proofErr w:type="gramStart"/>
      <w:r w:rsidRPr="002A2729">
        <w:rPr>
          <w:rFonts w:ascii="Arial" w:hAnsi="Arial" w:cs="Arial"/>
          <w:sz w:val="20"/>
          <w:lang w:val="en-US"/>
        </w:rPr>
        <w:t>is able to</w:t>
      </w:r>
      <w:proofErr w:type="gramEnd"/>
      <w:r w:rsidRPr="002A2729">
        <w:rPr>
          <w:rFonts w:ascii="Arial" w:hAnsi="Arial" w:cs="Arial"/>
          <w:sz w:val="20"/>
          <w:lang w:val="en-US"/>
        </w:rPr>
        <w:t xml:space="preserve"> recruit and retain qualified personnel. To this end, it is necessary that the company offers competitive remuneration. These guidelines enable the company to offer the executive management a competitive total remuneration.</w:t>
      </w:r>
    </w:p>
    <w:p w14:paraId="7C3852FE" w14:textId="77777777" w:rsidR="002A2729" w:rsidRPr="002A2729" w:rsidRDefault="002A2729" w:rsidP="002A2729">
      <w:pPr>
        <w:spacing w:line="276" w:lineRule="auto"/>
        <w:jc w:val="both"/>
        <w:rPr>
          <w:rFonts w:ascii="Arial" w:hAnsi="Arial" w:cs="Arial"/>
          <w:sz w:val="20"/>
          <w:lang w:val="en-US"/>
        </w:rPr>
      </w:pPr>
    </w:p>
    <w:p w14:paraId="17D4D23D" w14:textId="77777777" w:rsidR="002A2729" w:rsidRPr="002A2729" w:rsidRDefault="002A2729" w:rsidP="002A2729">
      <w:pPr>
        <w:spacing w:line="276" w:lineRule="auto"/>
        <w:jc w:val="both"/>
        <w:rPr>
          <w:rFonts w:ascii="Arial" w:hAnsi="Arial" w:cs="Arial"/>
          <w:sz w:val="20"/>
          <w:lang w:val="en-US"/>
        </w:rPr>
      </w:pPr>
      <w:r w:rsidRPr="002A2729">
        <w:rPr>
          <w:rFonts w:ascii="Arial" w:hAnsi="Arial" w:cs="Arial"/>
          <w:sz w:val="20"/>
          <w:lang w:val="en-US"/>
        </w:rPr>
        <w:t xml:space="preserve">For information regarding the company's business strategy, please see the company's website: www.acroud.com. </w:t>
      </w:r>
    </w:p>
    <w:p w14:paraId="5A921A4B" w14:textId="77777777" w:rsidR="002A2729" w:rsidRPr="002A2729" w:rsidRDefault="002A2729" w:rsidP="002A2729">
      <w:pPr>
        <w:spacing w:line="276" w:lineRule="auto"/>
        <w:jc w:val="both"/>
        <w:rPr>
          <w:rFonts w:ascii="Arial" w:hAnsi="Arial" w:cs="Arial"/>
          <w:sz w:val="20"/>
          <w:lang w:val="en-US"/>
        </w:rPr>
      </w:pPr>
    </w:p>
    <w:p w14:paraId="32078890" w14:textId="77777777" w:rsidR="002A2729" w:rsidRPr="002A2729" w:rsidRDefault="002A2729" w:rsidP="002A2729">
      <w:pPr>
        <w:spacing w:line="276" w:lineRule="auto"/>
        <w:jc w:val="both"/>
        <w:rPr>
          <w:rFonts w:ascii="Arial" w:hAnsi="Arial" w:cs="Arial"/>
          <w:b/>
          <w:bCs/>
          <w:i/>
          <w:iCs/>
          <w:sz w:val="20"/>
          <w:lang w:val="en-US"/>
        </w:rPr>
      </w:pPr>
      <w:r w:rsidRPr="002A2729">
        <w:rPr>
          <w:rFonts w:ascii="Arial" w:hAnsi="Arial" w:cs="Arial"/>
          <w:b/>
          <w:bCs/>
          <w:i/>
          <w:iCs/>
          <w:sz w:val="20"/>
          <w:lang w:val="en-US"/>
        </w:rPr>
        <w:t>Types of remuneration, etc.</w:t>
      </w:r>
    </w:p>
    <w:p w14:paraId="660EC391" w14:textId="77777777" w:rsidR="002A2729" w:rsidRPr="002A2729" w:rsidRDefault="002A2729" w:rsidP="002A2729">
      <w:pPr>
        <w:spacing w:line="276" w:lineRule="auto"/>
        <w:jc w:val="both"/>
        <w:rPr>
          <w:rFonts w:ascii="Arial" w:hAnsi="Arial" w:cs="Arial"/>
          <w:sz w:val="20"/>
          <w:lang w:val="en-US"/>
        </w:rPr>
      </w:pPr>
      <w:r w:rsidRPr="002A2729">
        <w:rPr>
          <w:rFonts w:ascii="Arial" w:hAnsi="Arial" w:cs="Arial"/>
          <w:sz w:val="20"/>
          <w:lang w:val="en-US"/>
        </w:rPr>
        <w:t>The remuneration shall be market-based and consists of fixed salary, pension benefits and other benefits. Variable remuneration may be paid at the discretion of the board of directors. In addition, the general meeting may – irrespective of these guidelines – resolve on, among other things, share- and share price-related remuneration or employee stock options programs and warrant programs.</w:t>
      </w:r>
    </w:p>
    <w:p w14:paraId="5F7187E9" w14:textId="77777777" w:rsidR="002A2729" w:rsidRPr="002A2729" w:rsidRDefault="002A2729" w:rsidP="002A2729">
      <w:pPr>
        <w:spacing w:line="276" w:lineRule="auto"/>
        <w:jc w:val="both"/>
        <w:rPr>
          <w:rFonts w:ascii="Arial" w:hAnsi="Arial" w:cs="Arial"/>
          <w:sz w:val="20"/>
          <w:lang w:val="en-US"/>
        </w:rPr>
      </w:pPr>
    </w:p>
    <w:p w14:paraId="2177E79D" w14:textId="77777777" w:rsidR="002A2729" w:rsidRPr="002A2729" w:rsidRDefault="002A2729" w:rsidP="002A2729">
      <w:pPr>
        <w:spacing w:line="276" w:lineRule="auto"/>
        <w:jc w:val="both"/>
        <w:rPr>
          <w:rFonts w:ascii="Arial" w:hAnsi="Arial" w:cs="Arial"/>
          <w:sz w:val="20"/>
          <w:lang w:val="en-US"/>
        </w:rPr>
      </w:pPr>
      <w:r w:rsidRPr="002A2729">
        <w:rPr>
          <w:rFonts w:ascii="Arial" w:hAnsi="Arial" w:cs="Arial"/>
          <w:sz w:val="20"/>
          <w:lang w:val="en-US"/>
        </w:rPr>
        <w:t>For the CEO and other members of executive management, pension benefits, including health insurance, as well as other benefits, including health insurance and occupational health care as well as wellness grants, shall be paid in accordance with customary principles in Malta and amount to a total maximum of 20 percent of the fixed annual salary for the CEO and a total maximum of five percent of the fixed annual salary for the other members of executive management.</w:t>
      </w:r>
    </w:p>
    <w:p w14:paraId="0FFD3014" w14:textId="77777777" w:rsidR="002A2729" w:rsidRPr="002A2729" w:rsidRDefault="002A2729" w:rsidP="002A2729">
      <w:pPr>
        <w:spacing w:line="276" w:lineRule="auto"/>
        <w:jc w:val="both"/>
        <w:rPr>
          <w:rFonts w:ascii="Arial" w:hAnsi="Arial" w:cs="Arial"/>
          <w:sz w:val="20"/>
          <w:lang w:val="en-US"/>
        </w:rPr>
      </w:pPr>
    </w:p>
    <w:p w14:paraId="7F2A3206" w14:textId="77777777" w:rsidR="002A2729" w:rsidRPr="002A2729" w:rsidRDefault="002A2729" w:rsidP="002A2729">
      <w:pPr>
        <w:spacing w:line="276" w:lineRule="auto"/>
        <w:jc w:val="both"/>
        <w:rPr>
          <w:rFonts w:ascii="Arial" w:hAnsi="Arial" w:cs="Arial"/>
          <w:sz w:val="20"/>
          <w:lang w:val="en-US"/>
        </w:rPr>
      </w:pPr>
      <w:r w:rsidRPr="002A2729">
        <w:rPr>
          <w:rFonts w:ascii="Arial" w:hAnsi="Arial" w:cs="Arial"/>
          <w:sz w:val="20"/>
          <w:lang w:val="en-US"/>
        </w:rPr>
        <w:t xml:space="preserve">For members of executive management who are stationed in a country other than their home country, additional remuneration and other benefits may be paid to a reasonable extent, </w:t>
      </w:r>
      <w:proofErr w:type="gramStart"/>
      <w:r w:rsidRPr="002A2729">
        <w:rPr>
          <w:rFonts w:ascii="Arial" w:hAnsi="Arial" w:cs="Arial"/>
          <w:sz w:val="20"/>
          <w:lang w:val="en-US"/>
        </w:rPr>
        <w:t>taking into account</w:t>
      </w:r>
      <w:proofErr w:type="gramEnd"/>
      <w:r w:rsidRPr="002A2729">
        <w:rPr>
          <w:rFonts w:ascii="Arial" w:hAnsi="Arial" w:cs="Arial"/>
          <w:sz w:val="20"/>
          <w:lang w:val="en-US"/>
        </w:rPr>
        <w:t xml:space="preserve"> the particular circumstances associated with such expatriation, with the overall purpose of these guidelines to be met as far as possible. Such benefits may amount to not more than 15 percent of the fixed annual salary.</w:t>
      </w:r>
    </w:p>
    <w:p w14:paraId="10CE0A51" w14:textId="77777777" w:rsidR="002A2729" w:rsidRPr="002A2729" w:rsidRDefault="002A2729" w:rsidP="002A2729">
      <w:pPr>
        <w:spacing w:line="276" w:lineRule="auto"/>
        <w:jc w:val="both"/>
        <w:rPr>
          <w:rFonts w:ascii="Arial" w:hAnsi="Arial" w:cs="Arial"/>
          <w:sz w:val="20"/>
          <w:lang w:val="en-US"/>
        </w:rPr>
      </w:pPr>
    </w:p>
    <w:p w14:paraId="4B6E7BE6" w14:textId="77777777" w:rsidR="002A2729" w:rsidRPr="002A2729" w:rsidRDefault="002A2729" w:rsidP="002A2729">
      <w:pPr>
        <w:spacing w:line="276" w:lineRule="auto"/>
        <w:jc w:val="both"/>
        <w:rPr>
          <w:rFonts w:ascii="Arial" w:hAnsi="Arial" w:cs="Arial"/>
          <w:sz w:val="20"/>
          <w:lang w:val="en-US"/>
        </w:rPr>
      </w:pPr>
      <w:r w:rsidRPr="002A2729">
        <w:rPr>
          <w:rFonts w:ascii="Arial" w:hAnsi="Arial" w:cs="Arial"/>
          <w:sz w:val="20"/>
          <w:lang w:val="en-US"/>
        </w:rPr>
        <w:t xml:space="preserve">Variable remuneration may be paid in the form of a bonus following the decision of the board of directors and shall be linked to predetermined and measurable, </w:t>
      </w:r>
      <w:proofErr w:type="gramStart"/>
      <w:r w:rsidRPr="002A2729">
        <w:rPr>
          <w:rFonts w:ascii="Arial" w:hAnsi="Arial" w:cs="Arial"/>
          <w:sz w:val="20"/>
          <w:lang w:val="en-US"/>
        </w:rPr>
        <w:t>financial</w:t>
      </w:r>
      <w:proofErr w:type="gramEnd"/>
      <w:r w:rsidRPr="002A2729">
        <w:rPr>
          <w:rFonts w:ascii="Arial" w:hAnsi="Arial" w:cs="Arial"/>
          <w:sz w:val="20"/>
          <w:lang w:val="en-US"/>
        </w:rPr>
        <w:t xml:space="preserve"> or non-financial, targets that promote the company's business strategy. Any variable remuneration may be paid up to a maximum of 30 percent of the fixed salary during the measurement period for the CEO and a maximum of 30 percent of the fixed salary during the measurement period for the other members of executive management. Fulfilment of criteria for payment of variable remuneration shall be measurable over a period of one or more years.</w:t>
      </w:r>
    </w:p>
    <w:p w14:paraId="6894026A" w14:textId="77777777" w:rsidR="002A2729" w:rsidRPr="002A2729" w:rsidRDefault="002A2729" w:rsidP="002A2729">
      <w:pPr>
        <w:spacing w:line="276" w:lineRule="auto"/>
        <w:jc w:val="both"/>
        <w:rPr>
          <w:rFonts w:ascii="Arial" w:hAnsi="Arial" w:cs="Arial"/>
          <w:sz w:val="20"/>
          <w:lang w:val="en-US"/>
        </w:rPr>
      </w:pPr>
    </w:p>
    <w:p w14:paraId="347425B1" w14:textId="77777777" w:rsidR="002A2729" w:rsidRDefault="002A2729" w:rsidP="002A2729">
      <w:pPr>
        <w:spacing w:line="276" w:lineRule="auto"/>
        <w:jc w:val="both"/>
        <w:rPr>
          <w:rFonts w:ascii="Arial" w:hAnsi="Arial" w:cs="Arial"/>
          <w:b/>
          <w:bCs/>
          <w:i/>
          <w:iCs/>
          <w:sz w:val="20"/>
          <w:lang w:val="en-US"/>
        </w:rPr>
      </w:pPr>
    </w:p>
    <w:p w14:paraId="112D90E0" w14:textId="595F34A9" w:rsidR="002A2729" w:rsidRPr="002A2729" w:rsidRDefault="002A2729" w:rsidP="002A2729">
      <w:pPr>
        <w:spacing w:line="276" w:lineRule="auto"/>
        <w:jc w:val="both"/>
        <w:rPr>
          <w:rFonts w:ascii="Arial" w:hAnsi="Arial" w:cs="Arial"/>
          <w:b/>
          <w:bCs/>
          <w:i/>
          <w:iCs/>
          <w:sz w:val="20"/>
          <w:lang w:val="en-US"/>
        </w:rPr>
      </w:pPr>
      <w:r w:rsidRPr="002A2729">
        <w:rPr>
          <w:rFonts w:ascii="Arial" w:hAnsi="Arial" w:cs="Arial"/>
          <w:b/>
          <w:bCs/>
          <w:i/>
          <w:iCs/>
          <w:sz w:val="20"/>
          <w:lang w:val="en-US"/>
        </w:rPr>
        <w:lastRenderedPageBreak/>
        <w:t xml:space="preserve">Period of notice and severance </w:t>
      </w:r>
      <w:proofErr w:type="gramStart"/>
      <w:r w:rsidRPr="002A2729">
        <w:rPr>
          <w:rFonts w:ascii="Arial" w:hAnsi="Arial" w:cs="Arial"/>
          <w:b/>
          <w:bCs/>
          <w:i/>
          <w:iCs/>
          <w:sz w:val="20"/>
          <w:lang w:val="en-US"/>
        </w:rPr>
        <w:t>pay</w:t>
      </w:r>
      <w:proofErr w:type="gramEnd"/>
    </w:p>
    <w:p w14:paraId="1C1B983A" w14:textId="77777777" w:rsidR="002A2729" w:rsidRPr="002A2729" w:rsidRDefault="002A2729" w:rsidP="002A2729">
      <w:pPr>
        <w:spacing w:line="276" w:lineRule="auto"/>
        <w:jc w:val="both"/>
        <w:rPr>
          <w:rFonts w:ascii="Arial" w:hAnsi="Arial" w:cs="Arial"/>
          <w:sz w:val="20"/>
          <w:lang w:val="en-US"/>
        </w:rPr>
      </w:pPr>
      <w:bookmarkStart w:id="2" w:name="_Hlk167293659"/>
      <w:r w:rsidRPr="002A2729">
        <w:rPr>
          <w:rFonts w:ascii="Arial" w:hAnsi="Arial" w:cs="Arial"/>
          <w:sz w:val="20"/>
          <w:lang w:val="en-US"/>
        </w:rPr>
        <w:t>If termination is made by the company, the CEO and CFO shall have a notice period of no more than six months and other members of executive management shall have a notice period of no more than three months. Fixed salary during the period of notice and severance pay shall not exceed a total sum corresponding to the fixed salary for a period of twelve months. If the termination is made by the senior executive, the period of notice shall be no more than six months and no severance pay shall be made.</w:t>
      </w:r>
    </w:p>
    <w:p w14:paraId="69AB9B0C" w14:textId="77777777" w:rsidR="002A2729" w:rsidRPr="002A2729" w:rsidRDefault="002A2729" w:rsidP="002A2729">
      <w:pPr>
        <w:spacing w:line="276" w:lineRule="auto"/>
        <w:jc w:val="both"/>
        <w:rPr>
          <w:rFonts w:ascii="Arial" w:hAnsi="Arial" w:cs="Arial"/>
          <w:sz w:val="20"/>
          <w:lang w:val="en-US"/>
        </w:rPr>
      </w:pPr>
    </w:p>
    <w:p w14:paraId="7767FB1D" w14:textId="77777777" w:rsidR="002A2729" w:rsidRPr="002A2729" w:rsidRDefault="002A2729" w:rsidP="002A2729">
      <w:pPr>
        <w:spacing w:line="276" w:lineRule="auto"/>
        <w:jc w:val="both"/>
        <w:rPr>
          <w:rFonts w:ascii="Arial" w:hAnsi="Arial" w:cs="Arial"/>
          <w:b/>
          <w:bCs/>
          <w:i/>
          <w:iCs/>
          <w:sz w:val="20"/>
          <w:lang w:val="en-US"/>
        </w:rPr>
      </w:pPr>
      <w:r w:rsidRPr="002A2729">
        <w:rPr>
          <w:rFonts w:ascii="Arial" w:hAnsi="Arial" w:cs="Arial"/>
          <w:b/>
          <w:bCs/>
          <w:i/>
          <w:iCs/>
          <w:sz w:val="20"/>
          <w:lang w:val="en-US"/>
        </w:rPr>
        <w:t>Salary and employment conditions for employees</w:t>
      </w:r>
    </w:p>
    <w:p w14:paraId="6B198CFB" w14:textId="77777777" w:rsidR="002A2729" w:rsidRPr="002A2729" w:rsidRDefault="002A2729" w:rsidP="002A2729">
      <w:pPr>
        <w:spacing w:line="276" w:lineRule="auto"/>
        <w:jc w:val="both"/>
        <w:rPr>
          <w:rFonts w:ascii="Arial" w:hAnsi="Arial" w:cs="Arial"/>
          <w:sz w:val="20"/>
          <w:lang w:val="en-US"/>
        </w:rPr>
      </w:pPr>
      <w:r w:rsidRPr="002A2729">
        <w:rPr>
          <w:rFonts w:ascii="Arial" w:hAnsi="Arial" w:cs="Arial"/>
          <w:sz w:val="20"/>
          <w:lang w:val="en-US"/>
        </w:rPr>
        <w:t xml:space="preserve">In the preparation of the board's proposal for these remuneration guidelines, </w:t>
      </w:r>
      <w:proofErr w:type="gramStart"/>
      <w:r w:rsidRPr="002A2729">
        <w:rPr>
          <w:rFonts w:ascii="Arial" w:hAnsi="Arial" w:cs="Arial"/>
          <w:sz w:val="20"/>
          <w:lang w:val="en-US"/>
        </w:rPr>
        <w:t>salary</w:t>
      </w:r>
      <w:proofErr w:type="gramEnd"/>
      <w:r w:rsidRPr="002A2729">
        <w:rPr>
          <w:rFonts w:ascii="Arial" w:hAnsi="Arial" w:cs="Arial"/>
          <w:sz w:val="20"/>
          <w:lang w:val="en-US"/>
        </w:rPr>
        <w:t xml:space="preserve"> and employment conditions for employees of the group have been taken into account by including information on the employees' total income, the components of the remuneration and increase and growth rate over time, in the remuneration committee's and the board's basis of decision when evaluating whether the guidelines and the limitations set out herein are reasonable.</w:t>
      </w:r>
    </w:p>
    <w:p w14:paraId="4E42665B" w14:textId="77777777" w:rsidR="002A2729" w:rsidRPr="002A2729" w:rsidRDefault="002A2729" w:rsidP="002A2729">
      <w:pPr>
        <w:spacing w:line="276" w:lineRule="auto"/>
        <w:jc w:val="both"/>
        <w:rPr>
          <w:rFonts w:ascii="Arial" w:hAnsi="Arial" w:cs="Arial"/>
          <w:sz w:val="20"/>
          <w:lang w:val="en-US"/>
        </w:rPr>
      </w:pPr>
    </w:p>
    <w:p w14:paraId="645D7D8F" w14:textId="77777777" w:rsidR="002A2729" w:rsidRPr="002A2729" w:rsidRDefault="002A2729" w:rsidP="002A2729">
      <w:pPr>
        <w:spacing w:line="276" w:lineRule="auto"/>
        <w:jc w:val="both"/>
        <w:rPr>
          <w:rFonts w:ascii="Arial" w:hAnsi="Arial" w:cs="Arial"/>
          <w:b/>
          <w:bCs/>
          <w:i/>
          <w:iCs/>
          <w:sz w:val="20"/>
          <w:lang w:val="en-US"/>
        </w:rPr>
      </w:pPr>
      <w:r w:rsidRPr="002A2729">
        <w:rPr>
          <w:rFonts w:ascii="Arial" w:hAnsi="Arial" w:cs="Arial"/>
          <w:b/>
          <w:bCs/>
          <w:i/>
          <w:iCs/>
          <w:sz w:val="20"/>
          <w:lang w:val="en-US"/>
        </w:rPr>
        <w:t xml:space="preserve">The decision-making process to determine, review and implement the </w:t>
      </w:r>
      <w:proofErr w:type="gramStart"/>
      <w:r w:rsidRPr="002A2729">
        <w:rPr>
          <w:rFonts w:ascii="Arial" w:hAnsi="Arial" w:cs="Arial"/>
          <w:b/>
          <w:bCs/>
          <w:i/>
          <w:iCs/>
          <w:sz w:val="20"/>
          <w:lang w:val="en-US"/>
        </w:rPr>
        <w:t>guidelines</w:t>
      </w:r>
      <w:proofErr w:type="gramEnd"/>
    </w:p>
    <w:p w14:paraId="71A6C23E" w14:textId="77777777" w:rsidR="002A2729" w:rsidRPr="002A2729" w:rsidRDefault="002A2729" w:rsidP="002A2729">
      <w:pPr>
        <w:spacing w:line="276" w:lineRule="auto"/>
        <w:jc w:val="both"/>
        <w:rPr>
          <w:rFonts w:ascii="Arial" w:hAnsi="Arial" w:cs="Arial"/>
          <w:sz w:val="20"/>
          <w:lang w:val="en-US"/>
        </w:rPr>
      </w:pPr>
      <w:r w:rsidRPr="002A2729">
        <w:rPr>
          <w:rFonts w:ascii="Arial" w:hAnsi="Arial" w:cs="Arial"/>
          <w:sz w:val="20"/>
          <w:lang w:val="en-US"/>
        </w:rPr>
        <w:t>The board of directors has established a remuneration committee. The committee's tasks include preparing the board of directors' decision to propose guidelines for executive remuneration. The board of directors shall prepare a proposal for new guidelines at least every fourth year and submit it to the annual general meeting. The guidelines shall be in force until new guidelines are adopted by the general meeting. The remuneration committee shall also monitor and evaluate application of the guidelines for executive remuneration as well as the current remuneration structures and compensation levels in the company. The members of the remuneration committee are independent of the company and its executive management. The CEO and other members of the executive management do not participate in the board of directors' processing of and resolutions regarding remuneration-related matters in so far as they are affected by such matters.</w:t>
      </w:r>
    </w:p>
    <w:p w14:paraId="2576C8EC" w14:textId="77777777" w:rsidR="002A2729" w:rsidRPr="002A2729" w:rsidRDefault="002A2729" w:rsidP="002A2729">
      <w:pPr>
        <w:spacing w:line="276" w:lineRule="auto"/>
        <w:jc w:val="both"/>
        <w:rPr>
          <w:rFonts w:ascii="Arial" w:hAnsi="Arial" w:cs="Arial"/>
          <w:sz w:val="20"/>
          <w:lang w:val="en-US"/>
        </w:rPr>
      </w:pPr>
    </w:p>
    <w:p w14:paraId="5906DE13" w14:textId="77777777" w:rsidR="002A2729" w:rsidRPr="002A2729" w:rsidRDefault="002A2729" w:rsidP="002A2729">
      <w:pPr>
        <w:spacing w:line="276" w:lineRule="auto"/>
        <w:jc w:val="both"/>
        <w:rPr>
          <w:rFonts w:ascii="Arial" w:hAnsi="Arial" w:cs="Arial"/>
          <w:b/>
          <w:bCs/>
          <w:i/>
          <w:iCs/>
          <w:sz w:val="20"/>
          <w:lang w:val="en-US"/>
        </w:rPr>
      </w:pPr>
      <w:r w:rsidRPr="002A2729">
        <w:rPr>
          <w:rFonts w:ascii="Arial" w:hAnsi="Arial" w:cs="Arial"/>
          <w:b/>
          <w:bCs/>
          <w:i/>
          <w:iCs/>
          <w:sz w:val="20"/>
          <w:lang w:val="en-US"/>
        </w:rPr>
        <w:t>Derogation from the guidelines</w:t>
      </w:r>
    </w:p>
    <w:p w14:paraId="77825EA8" w14:textId="77777777" w:rsidR="002A2729" w:rsidRPr="002A2729" w:rsidRDefault="002A2729" w:rsidP="002A2729">
      <w:pPr>
        <w:spacing w:line="276" w:lineRule="auto"/>
        <w:jc w:val="both"/>
        <w:rPr>
          <w:rFonts w:ascii="Arial" w:hAnsi="Arial" w:cs="Arial"/>
          <w:sz w:val="20"/>
          <w:lang w:val="en-US"/>
        </w:rPr>
      </w:pPr>
      <w:r w:rsidRPr="002A2729">
        <w:rPr>
          <w:rFonts w:ascii="Arial" w:hAnsi="Arial" w:cs="Arial"/>
          <w:sz w:val="20"/>
          <w:lang w:val="en-US"/>
        </w:rPr>
        <w:t>The board of directors may temporarily resolve to derogate from the guidelines, in whole or in part, if in a specific case there is special cause for the derogation and a derogation is necessary to serve the company's long-term interests, including its sustainability agenda, or to ensure the company's financial viability. As set out above, the remuneration committee's tasks include preparing the board of directors' resolutions in remuneration-related matters. This includes any resolutions to derogate from the guidelines.</w:t>
      </w:r>
    </w:p>
    <w:p w14:paraId="5F76587A" w14:textId="77777777" w:rsidR="002A2729" w:rsidRPr="002A2729" w:rsidRDefault="002A2729" w:rsidP="002A2729">
      <w:pPr>
        <w:spacing w:line="276" w:lineRule="auto"/>
        <w:jc w:val="both"/>
        <w:rPr>
          <w:rFonts w:ascii="Arial" w:hAnsi="Arial" w:cs="Arial"/>
          <w:sz w:val="20"/>
          <w:lang w:val="en-US"/>
        </w:rPr>
      </w:pPr>
    </w:p>
    <w:p w14:paraId="5A2D2D7D" w14:textId="77777777" w:rsidR="002A2729" w:rsidRPr="002A2729" w:rsidRDefault="002A2729" w:rsidP="002A2729">
      <w:pPr>
        <w:spacing w:line="276" w:lineRule="auto"/>
        <w:jc w:val="both"/>
        <w:rPr>
          <w:rFonts w:ascii="Arial" w:hAnsi="Arial" w:cs="Arial"/>
          <w:b/>
          <w:bCs/>
          <w:i/>
          <w:iCs/>
          <w:sz w:val="20"/>
          <w:lang w:val="en-US"/>
        </w:rPr>
      </w:pPr>
      <w:r w:rsidRPr="002A2729">
        <w:rPr>
          <w:rFonts w:ascii="Arial" w:hAnsi="Arial" w:cs="Arial"/>
          <w:b/>
          <w:bCs/>
          <w:i/>
          <w:iCs/>
          <w:sz w:val="20"/>
          <w:lang w:val="en-US"/>
        </w:rPr>
        <w:t xml:space="preserve">Information on remuneration resolved but not yet </w:t>
      </w:r>
      <w:proofErr w:type="gramStart"/>
      <w:r w:rsidRPr="002A2729">
        <w:rPr>
          <w:rFonts w:ascii="Arial" w:hAnsi="Arial" w:cs="Arial"/>
          <w:b/>
          <w:bCs/>
          <w:i/>
          <w:iCs/>
          <w:sz w:val="20"/>
          <w:lang w:val="en-US"/>
        </w:rPr>
        <w:t>due</w:t>
      </w:r>
      <w:proofErr w:type="gramEnd"/>
    </w:p>
    <w:p w14:paraId="12370734" w14:textId="77777777" w:rsidR="002A2729" w:rsidRPr="002A2729" w:rsidRDefault="002A2729" w:rsidP="002A2729">
      <w:pPr>
        <w:spacing w:line="276" w:lineRule="auto"/>
        <w:jc w:val="both"/>
        <w:rPr>
          <w:rFonts w:ascii="Arial" w:hAnsi="Arial" w:cs="Arial"/>
          <w:sz w:val="20"/>
          <w:lang w:val="en-US"/>
        </w:rPr>
      </w:pPr>
      <w:r w:rsidRPr="002A2729">
        <w:rPr>
          <w:rFonts w:ascii="Arial" w:hAnsi="Arial" w:cs="Arial"/>
          <w:sz w:val="20"/>
          <w:lang w:val="en-US"/>
        </w:rPr>
        <w:t>There are no remunerations resolved but not yet due.</w:t>
      </w:r>
      <w:bookmarkEnd w:id="1"/>
      <w:bookmarkEnd w:id="2"/>
    </w:p>
    <w:p w14:paraId="1854DD36" w14:textId="641C13DB" w:rsidR="00F12F60" w:rsidRDefault="00F12F60" w:rsidP="002A2729">
      <w:pPr>
        <w:spacing w:line="276" w:lineRule="auto"/>
        <w:jc w:val="both"/>
        <w:rPr>
          <w:rFonts w:ascii="Arial" w:hAnsi="Arial" w:cs="Arial"/>
          <w:sz w:val="20"/>
          <w:lang w:val="en-US"/>
        </w:rPr>
      </w:pPr>
      <w:r w:rsidRPr="00F12F60">
        <w:rPr>
          <w:rFonts w:ascii="Arial" w:hAnsi="Arial" w:cs="Arial"/>
          <w:sz w:val="20"/>
          <w:lang w:val="en-US"/>
        </w:rPr>
        <w:t>.</w:t>
      </w:r>
    </w:p>
    <w:p w14:paraId="45F6C3C9" w14:textId="77777777" w:rsidR="001F1574" w:rsidRPr="00F12F60" w:rsidRDefault="001F1574" w:rsidP="00F12F60">
      <w:pPr>
        <w:spacing w:line="276" w:lineRule="auto"/>
        <w:jc w:val="both"/>
        <w:rPr>
          <w:rFonts w:ascii="Arial" w:hAnsi="Arial" w:cs="Arial"/>
          <w:sz w:val="20"/>
          <w:lang w:val="en-US"/>
        </w:rPr>
      </w:pPr>
    </w:p>
    <w:p w14:paraId="4AF05496" w14:textId="77777777" w:rsidR="00F12F60" w:rsidRPr="007439C9" w:rsidRDefault="00F12F60" w:rsidP="001F1574">
      <w:pPr>
        <w:spacing w:after="60" w:line="276" w:lineRule="auto"/>
        <w:jc w:val="center"/>
        <w:rPr>
          <w:rFonts w:ascii="Arial" w:hAnsi="Arial" w:cs="Arial"/>
          <w:sz w:val="20"/>
          <w:lang w:val="en-US"/>
        </w:rPr>
      </w:pPr>
      <w:r w:rsidRPr="007439C9">
        <w:rPr>
          <w:rFonts w:ascii="Arial" w:hAnsi="Arial" w:cs="Arial"/>
          <w:sz w:val="20"/>
          <w:lang w:val="en-US"/>
        </w:rPr>
        <w:t>____________</w:t>
      </w:r>
    </w:p>
    <w:p w14:paraId="2A884BDA" w14:textId="1E7DB411" w:rsidR="001F1574" w:rsidRPr="007439C9" w:rsidRDefault="001F1574" w:rsidP="001F1574">
      <w:pPr>
        <w:spacing w:line="276" w:lineRule="auto"/>
        <w:jc w:val="center"/>
        <w:rPr>
          <w:rFonts w:ascii="Arial" w:hAnsi="Arial" w:cs="Arial"/>
          <w:sz w:val="20"/>
          <w:lang w:val="en-US"/>
        </w:rPr>
      </w:pPr>
      <w:r w:rsidRPr="007439C9">
        <w:rPr>
          <w:rFonts w:ascii="Arial" w:hAnsi="Arial" w:cs="Arial"/>
          <w:sz w:val="20"/>
          <w:lang w:val="en-US"/>
        </w:rPr>
        <w:t>Stockholm in May 2024</w:t>
      </w:r>
    </w:p>
    <w:p w14:paraId="24FAB39D" w14:textId="53E8F192" w:rsidR="00F12F60" w:rsidRPr="007439C9" w:rsidRDefault="00F12F60" w:rsidP="00F12F60">
      <w:pPr>
        <w:spacing w:line="276" w:lineRule="auto"/>
        <w:jc w:val="center"/>
        <w:rPr>
          <w:rFonts w:ascii="Arial" w:hAnsi="Arial" w:cs="Arial"/>
          <w:b/>
          <w:bCs/>
          <w:sz w:val="20"/>
          <w:lang w:val="en-US"/>
        </w:rPr>
      </w:pPr>
      <w:r w:rsidRPr="007439C9">
        <w:rPr>
          <w:rFonts w:ascii="Arial" w:hAnsi="Arial" w:cs="Arial"/>
          <w:b/>
          <w:bCs/>
          <w:sz w:val="20"/>
          <w:lang w:val="en-US"/>
        </w:rPr>
        <w:t>ACROUD AB (publ)</w:t>
      </w:r>
    </w:p>
    <w:p w14:paraId="40C961A8" w14:textId="77777777" w:rsidR="00F12F60" w:rsidRPr="001F1574" w:rsidRDefault="00F12F60" w:rsidP="00F12F60">
      <w:pPr>
        <w:spacing w:line="276" w:lineRule="auto"/>
        <w:jc w:val="center"/>
        <w:rPr>
          <w:rFonts w:ascii="Arial" w:hAnsi="Arial" w:cs="Arial"/>
          <w:i/>
          <w:iCs/>
          <w:sz w:val="20"/>
        </w:rPr>
      </w:pPr>
      <w:r w:rsidRPr="001F1574">
        <w:rPr>
          <w:rFonts w:ascii="Arial" w:hAnsi="Arial" w:cs="Arial"/>
          <w:i/>
          <w:iCs/>
          <w:sz w:val="20"/>
        </w:rPr>
        <w:t>The board of directors</w:t>
      </w:r>
    </w:p>
    <w:p w14:paraId="2C095436" w14:textId="7CF06EA2" w:rsidR="00F12F60" w:rsidRDefault="00F12F60" w:rsidP="006A1FAF">
      <w:pPr>
        <w:spacing w:before="240" w:after="240"/>
        <w:rPr>
          <w:rFonts w:ascii="Arial" w:hAnsi="Arial" w:cs="Arial"/>
          <w:i/>
          <w:iCs/>
          <w:sz w:val="20"/>
          <w:szCs w:val="20"/>
          <w:lang w:val="en-US"/>
        </w:rPr>
      </w:pPr>
    </w:p>
    <w:p w14:paraId="2ED146F2" w14:textId="77777777" w:rsidR="00F12F60" w:rsidRPr="006A1FAF" w:rsidRDefault="00F12F60" w:rsidP="006A1FAF">
      <w:pPr>
        <w:spacing w:before="240" w:after="240"/>
        <w:rPr>
          <w:rFonts w:ascii="Arial" w:hAnsi="Arial" w:cs="Arial"/>
          <w:i/>
          <w:iCs/>
          <w:sz w:val="20"/>
          <w:szCs w:val="20"/>
          <w:lang w:val="en-US"/>
        </w:rPr>
      </w:pPr>
    </w:p>
    <w:sectPr w:rsidR="00F12F60" w:rsidRPr="006A1FAF" w:rsidSect="007E248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98308" w14:textId="77777777" w:rsidR="008302FB" w:rsidRDefault="008302FB" w:rsidP="003240E1">
      <w:r>
        <w:separator/>
      </w:r>
    </w:p>
  </w:endnote>
  <w:endnote w:type="continuationSeparator" w:id="0">
    <w:p w14:paraId="28AE7649" w14:textId="77777777" w:rsidR="008302FB" w:rsidRDefault="008302FB" w:rsidP="0032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4BEAF" w14:textId="77777777" w:rsidR="001F1574" w:rsidRDefault="001F157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6A70A" w14:textId="77777777" w:rsidR="001F1574" w:rsidRDefault="001F157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D4034" w14:textId="77777777" w:rsidR="001F1574" w:rsidRDefault="001F15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85489" w14:textId="77777777" w:rsidR="008302FB" w:rsidRDefault="008302FB" w:rsidP="003240E1">
      <w:r>
        <w:separator/>
      </w:r>
    </w:p>
  </w:footnote>
  <w:footnote w:type="continuationSeparator" w:id="0">
    <w:p w14:paraId="77A7984A" w14:textId="77777777" w:rsidR="008302FB" w:rsidRDefault="008302FB" w:rsidP="00324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9A2C6" w14:textId="77777777" w:rsidR="001F1574" w:rsidRDefault="001F157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6B50" w14:textId="77777777" w:rsidR="001F1574" w:rsidRDefault="001F157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01F25" w14:textId="12138E9D" w:rsidR="007E2483" w:rsidRPr="007E2483" w:rsidRDefault="00F12F60">
    <w:pPr>
      <w:pStyle w:val="Sidhuvud"/>
      <w:rPr>
        <w:lang w:val="en-US"/>
      </w:rPr>
    </w:pPr>
    <w:r w:rsidRPr="00F12F60">
      <w:rPr>
        <w:rFonts w:ascii="Arial" w:hAnsi="Arial" w:cs="Arial"/>
        <w:sz w:val="16"/>
        <w:szCs w:val="16"/>
        <w:lang w:val="en-US"/>
      </w:rPr>
      <w:t>Unofficial English translation for information purposes only. If there are differences between the English translation and the Swedish original, the Swedish text will take precedence.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94283"/>
    <w:multiLevelType w:val="hybridMultilevel"/>
    <w:tmpl w:val="A50AEFA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392B530D"/>
    <w:multiLevelType w:val="hybridMultilevel"/>
    <w:tmpl w:val="842281D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9D82F5F"/>
    <w:multiLevelType w:val="hybridMultilevel"/>
    <w:tmpl w:val="A1B41442"/>
    <w:lvl w:ilvl="0" w:tplc="6ADE4BCA">
      <w:start w:val="1"/>
      <w:numFmt w:val="decimal"/>
      <w:lvlText w:val="%1."/>
      <w:lvlJc w:val="left"/>
      <w:pPr>
        <w:ind w:left="720" w:hanging="360"/>
      </w:pPr>
      <w:rPr>
        <w:rFonts w:ascii="Arial" w:eastAsia="Times New Roman" w:hAnsi="Arial" w:cs="Arial"/>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19E51B9"/>
    <w:multiLevelType w:val="hybridMultilevel"/>
    <w:tmpl w:val="FFF01FDE"/>
    <w:lvl w:ilvl="0" w:tplc="778CAB2E">
      <w:start w:val="1"/>
      <w:numFmt w:val="decimal"/>
      <w:lvlText w:val="%1."/>
      <w:lvlJc w:val="left"/>
      <w:pPr>
        <w:ind w:left="720" w:hanging="360"/>
      </w:pPr>
      <w:rPr>
        <w:rFonts w:ascii="Arial" w:eastAsia="Times New Roman"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A04093C"/>
    <w:multiLevelType w:val="hybridMultilevel"/>
    <w:tmpl w:val="EE76B2E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73740AF4"/>
    <w:multiLevelType w:val="hybridMultilevel"/>
    <w:tmpl w:val="920A2994"/>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9C83A55"/>
    <w:multiLevelType w:val="hybridMultilevel"/>
    <w:tmpl w:val="C6A43A34"/>
    <w:lvl w:ilvl="0" w:tplc="431AC526">
      <w:start w:val="1"/>
      <w:numFmt w:val="decimal"/>
      <w:lvlText w:val="%1."/>
      <w:lvlJc w:val="left"/>
      <w:pPr>
        <w:ind w:left="1077" w:hanging="360"/>
      </w:pPr>
      <w:rPr>
        <w:b w:val="0"/>
        <w:i w:val="0"/>
      </w:rPr>
    </w:lvl>
    <w:lvl w:ilvl="1" w:tplc="041D001B">
      <w:start w:val="1"/>
      <w:numFmt w:val="lowerRoman"/>
      <w:lvlText w:val="%2."/>
      <w:lvlJc w:val="righ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num w:numId="1" w16cid:durableId="1499880216">
    <w:abstractNumId w:val="0"/>
  </w:num>
  <w:num w:numId="2" w16cid:durableId="311638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9177403">
    <w:abstractNumId w:val="1"/>
  </w:num>
  <w:num w:numId="4" w16cid:durableId="1368725259">
    <w:abstractNumId w:val="5"/>
  </w:num>
  <w:num w:numId="5" w16cid:durableId="547955367">
    <w:abstractNumId w:val="2"/>
  </w:num>
  <w:num w:numId="6" w16cid:durableId="405498368">
    <w:abstractNumId w:val="4"/>
  </w:num>
  <w:num w:numId="7" w16cid:durableId="2116364109">
    <w:abstractNumId w:val="3"/>
  </w:num>
  <w:num w:numId="8" w16cid:durableId="1533417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49"/>
    <w:rsid w:val="0000077F"/>
    <w:rsid w:val="0001091A"/>
    <w:rsid w:val="00012D45"/>
    <w:rsid w:val="000200DF"/>
    <w:rsid w:val="000201B8"/>
    <w:rsid w:val="00021AB2"/>
    <w:rsid w:val="000224B9"/>
    <w:rsid w:val="00022CF7"/>
    <w:rsid w:val="00023064"/>
    <w:rsid w:val="00040A0D"/>
    <w:rsid w:val="0005276B"/>
    <w:rsid w:val="000544A0"/>
    <w:rsid w:val="000567C3"/>
    <w:rsid w:val="00063136"/>
    <w:rsid w:val="00065EBC"/>
    <w:rsid w:val="00072EB6"/>
    <w:rsid w:val="0007596B"/>
    <w:rsid w:val="00086F47"/>
    <w:rsid w:val="00095358"/>
    <w:rsid w:val="000978E4"/>
    <w:rsid w:val="000A08DE"/>
    <w:rsid w:val="000A0906"/>
    <w:rsid w:val="000A13E2"/>
    <w:rsid w:val="000A3840"/>
    <w:rsid w:val="000A73AF"/>
    <w:rsid w:val="000B602A"/>
    <w:rsid w:val="000C27E2"/>
    <w:rsid w:val="000C4AA3"/>
    <w:rsid w:val="000C5B9D"/>
    <w:rsid w:val="000D2B75"/>
    <w:rsid w:val="000D4FD4"/>
    <w:rsid w:val="000D54B4"/>
    <w:rsid w:val="000E0846"/>
    <w:rsid w:val="000F2155"/>
    <w:rsid w:val="00101596"/>
    <w:rsid w:val="0010565B"/>
    <w:rsid w:val="001425BB"/>
    <w:rsid w:val="0014370C"/>
    <w:rsid w:val="00147CA7"/>
    <w:rsid w:val="0015079E"/>
    <w:rsid w:val="0015136B"/>
    <w:rsid w:val="001523FD"/>
    <w:rsid w:val="001561DA"/>
    <w:rsid w:val="0016003C"/>
    <w:rsid w:val="00164F97"/>
    <w:rsid w:val="0017019D"/>
    <w:rsid w:val="00170F1A"/>
    <w:rsid w:val="00174AD6"/>
    <w:rsid w:val="00181343"/>
    <w:rsid w:val="0018263B"/>
    <w:rsid w:val="00184D29"/>
    <w:rsid w:val="00193107"/>
    <w:rsid w:val="001932F9"/>
    <w:rsid w:val="001A3215"/>
    <w:rsid w:val="001A558D"/>
    <w:rsid w:val="001C1670"/>
    <w:rsid w:val="001D292A"/>
    <w:rsid w:val="001D5D61"/>
    <w:rsid w:val="001D65E1"/>
    <w:rsid w:val="001E7E49"/>
    <w:rsid w:val="001F1574"/>
    <w:rsid w:val="00200F21"/>
    <w:rsid w:val="00217D79"/>
    <w:rsid w:val="00221793"/>
    <w:rsid w:val="00221C3B"/>
    <w:rsid w:val="00232374"/>
    <w:rsid w:val="002325E0"/>
    <w:rsid w:val="00233A98"/>
    <w:rsid w:val="002402DD"/>
    <w:rsid w:val="002436FA"/>
    <w:rsid w:val="002450B9"/>
    <w:rsid w:val="00254427"/>
    <w:rsid w:val="002603CE"/>
    <w:rsid w:val="00263BEC"/>
    <w:rsid w:val="0026429B"/>
    <w:rsid w:val="00267891"/>
    <w:rsid w:val="00272A9D"/>
    <w:rsid w:val="00287262"/>
    <w:rsid w:val="002903E1"/>
    <w:rsid w:val="002A2729"/>
    <w:rsid w:val="002B0503"/>
    <w:rsid w:val="002B0942"/>
    <w:rsid w:val="002B2EB7"/>
    <w:rsid w:val="002C020B"/>
    <w:rsid w:val="002C079F"/>
    <w:rsid w:val="002C4EC9"/>
    <w:rsid w:val="002C5483"/>
    <w:rsid w:val="002C54D8"/>
    <w:rsid w:val="002D0313"/>
    <w:rsid w:val="002D0503"/>
    <w:rsid w:val="002D4F44"/>
    <w:rsid w:val="002E544A"/>
    <w:rsid w:val="002E6A0C"/>
    <w:rsid w:val="0030498E"/>
    <w:rsid w:val="00306017"/>
    <w:rsid w:val="0030783C"/>
    <w:rsid w:val="00310505"/>
    <w:rsid w:val="003174CE"/>
    <w:rsid w:val="0032153F"/>
    <w:rsid w:val="00322AF8"/>
    <w:rsid w:val="003240E1"/>
    <w:rsid w:val="003267D8"/>
    <w:rsid w:val="00326ECE"/>
    <w:rsid w:val="003333C3"/>
    <w:rsid w:val="00335EF0"/>
    <w:rsid w:val="00336B5D"/>
    <w:rsid w:val="00343F2D"/>
    <w:rsid w:val="003459B4"/>
    <w:rsid w:val="003527DD"/>
    <w:rsid w:val="00354F2D"/>
    <w:rsid w:val="00355DF8"/>
    <w:rsid w:val="0035643D"/>
    <w:rsid w:val="00357E82"/>
    <w:rsid w:val="0037007F"/>
    <w:rsid w:val="00376EA0"/>
    <w:rsid w:val="00381FCA"/>
    <w:rsid w:val="0038201B"/>
    <w:rsid w:val="00384067"/>
    <w:rsid w:val="00384F63"/>
    <w:rsid w:val="0039591F"/>
    <w:rsid w:val="003A02A2"/>
    <w:rsid w:val="003A62FD"/>
    <w:rsid w:val="003A79C1"/>
    <w:rsid w:val="003B0271"/>
    <w:rsid w:val="003C0FB5"/>
    <w:rsid w:val="003C2D0D"/>
    <w:rsid w:val="003C6BD1"/>
    <w:rsid w:val="003D2B93"/>
    <w:rsid w:val="003D48E8"/>
    <w:rsid w:val="003D613E"/>
    <w:rsid w:val="003E320E"/>
    <w:rsid w:val="003E4F78"/>
    <w:rsid w:val="003E61CE"/>
    <w:rsid w:val="003F0AF7"/>
    <w:rsid w:val="003F40A8"/>
    <w:rsid w:val="004001FD"/>
    <w:rsid w:val="00401D1E"/>
    <w:rsid w:val="00402F91"/>
    <w:rsid w:val="00404C29"/>
    <w:rsid w:val="00420B4B"/>
    <w:rsid w:val="00420D86"/>
    <w:rsid w:val="004249A6"/>
    <w:rsid w:val="00425D73"/>
    <w:rsid w:val="00432B19"/>
    <w:rsid w:val="00437CEE"/>
    <w:rsid w:val="00443BF1"/>
    <w:rsid w:val="00445949"/>
    <w:rsid w:val="00452E61"/>
    <w:rsid w:val="00460F4A"/>
    <w:rsid w:val="00463773"/>
    <w:rsid w:val="00464594"/>
    <w:rsid w:val="00467431"/>
    <w:rsid w:val="00473E9E"/>
    <w:rsid w:val="004761C2"/>
    <w:rsid w:val="00477AE5"/>
    <w:rsid w:val="004820D5"/>
    <w:rsid w:val="004827F1"/>
    <w:rsid w:val="00485D04"/>
    <w:rsid w:val="00491E61"/>
    <w:rsid w:val="00492863"/>
    <w:rsid w:val="004A5822"/>
    <w:rsid w:val="004A615B"/>
    <w:rsid w:val="004B51C4"/>
    <w:rsid w:val="004D2FE9"/>
    <w:rsid w:val="004E1739"/>
    <w:rsid w:val="004E1888"/>
    <w:rsid w:val="004E5964"/>
    <w:rsid w:val="004E661E"/>
    <w:rsid w:val="004F41AF"/>
    <w:rsid w:val="004F4D17"/>
    <w:rsid w:val="004F5AA5"/>
    <w:rsid w:val="005039AF"/>
    <w:rsid w:val="00507760"/>
    <w:rsid w:val="005128C8"/>
    <w:rsid w:val="005148B1"/>
    <w:rsid w:val="00515320"/>
    <w:rsid w:val="005157F6"/>
    <w:rsid w:val="00520A69"/>
    <w:rsid w:val="005241C7"/>
    <w:rsid w:val="00524455"/>
    <w:rsid w:val="005258FF"/>
    <w:rsid w:val="00531902"/>
    <w:rsid w:val="00531D5C"/>
    <w:rsid w:val="00541DF0"/>
    <w:rsid w:val="0055710B"/>
    <w:rsid w:val="005632F9"/>
    <w:rsid w:val="00564EB6"/>
    <w:rsid w:val="005666E1"/>
    <w:rsid w:val="005671F9"/>
    <w:rsid w:val="00567852"/>
    <w:rsid w:val="00571DDA"/>
    <w:rsid w:val="005774FC"/>
    <w:rsid w:val="00587EEF"/>
    <w:rsid w:val="0059505B"/>
    <w:rsid w:val="005A107E"/>
    <w:rsid w:val="005A46E6"/>
    <w:rsid w:val="005B1FD2"/>
    <w:rsid w:val="005B3C2B"/>
    <w:rsid w:val="005C0FA0"/>
    <w:rsid w:val="005C1E2E"/>
    <w:rsid w:val="005D7420"/>
    <w:rsid w:val="005E03A8"/>
    <w:rsid w:val="005E0D3E"/>
    <w:rsid w:val="005E2051"/>
    <w:rsid w:val="0061090D"/>
    <w:rsid w:val="0061348C"/>
    <w:rsid w:val="006150D4"/>
    <w:rsid w:val="006174D2"/>
    <w:rsid w:val="00621DE7"/>
    <w:rsid w:val="00623EBE"/>
    <w:rsid w:val="00631EA7"/>
    <w:rsid w:val="006579DD"/>
    <w:rsid w:val="006733E2"/>
    <w:rsid w:val="0067551A"/>
    <w:rsid w:val="00682771"/>
    <w:rsid w:val="006829C8"/>
    <w:rsid w:val="00685CB7"/>
    <w:rsid w:val="00694D4E"/>
    <w:rsid w:val="00697D58"/>
    <w:rsid w:val="00697FF1"/>
    <w:rsid w:val="006A0CB9"/>
    <w:rsid w:val="006A152E"/>
    <w:rsid w:val="006A1DFF"/>
    <w:rsid w:val="006A1FAF"/>
    <w:rsid w:val="006A2B96"/>
    <w:rsid w:val="006A2EEC"/>
    <w:rsid w:val="006B25F1"/>
    <w:rsid w:val="006B4939"/>
    <w:rsid w:val="006B7D2C"/>
    <w:rsid w:val="006C05ED"/>
    <w:rsid w:val="006C21ED"/>
    <w:rsid w:val="006C3870"/>
    <w:rsid w:val="006C430D"/>
    <w:rsid w:val="006C4D14"/>
    <w:rsid w:val="006C5E02"/>
    <w:rsid w:val="006C74FB"/>
    <w:rsid w:val="006D120E"/>
    <w:rsid w:val="006D22F7"/>
    <w:rsid w:val="006E526D"/>
    <w:rsid w:val="006E6F87"/>
    <w:rsid w:val="006F03A7"/>
    <w:rsid w:val="006F0BA5"/>
    <w:rsid w:val="006F3765"/>
    <w:rsid w:val="006F704F"/>
    <w:rsid w:val="007011F7"/>
    <w:rsid w:val="00710820"/>
    <w:rsid w:val="0071198F"/>
    <w:rsid w:val="00717CB5"/>
    <w:rsid w:val="00724042"/>
    <w:rsid w:val="00725D50"/>
    <w:rsid w:val="00726B1C"/>
    <w:rsid w:val="00732BDF"/>
    <w:rsid w:val="007349D8"/>
    <w:rsid w:val="00735858"/>
    <w:rsid w:val="007439C9"/>
    <w:rsid w:val="00753CDA"/>
    <w:rsid w:val="00771CE8"/>
    <w:rsid w:val="00776563"/>
    <w:rsid w:val="00776743"/>
    <w:rsid w:val="00782A8F"/>
    <w:rsid w:val="00783716"/>
    <w:rsid w:val="0079255A"/>
    <w:rsid w:val="0079279E"/>
    <w:rsid w:val="0079410C"/>
    <w:rsid w:val="007A661C"/>
    <w:rsid w:val="007B089A"/>
    <w:rsid w:val="007B7195"/>
    <w:rsid w:val="007D220E"/>
    <w:rsid w:val="007E0727"/>
    <w:rsid w:val="007E2483"/>
    <w:rsid w:val="007E2625"/>
    <w:rsid w:val="007E471F"/>
    <w:rsid w:val="007E6BBF"/>
    <w:rsid w:val="007F2B17"/>
    <w:rsid w:val="008040C5"/>
    <w:rsid w:val="00821E1E"/>
    <w:rsid w:val="00827E04"/>
    <w:rsid w:val="008302FB"/>
    <w:rsid w:val="00830750"/>
    <w:rsid w:val="00832692"/>
    <w:rsid w:val="008327E4"/>
    <w:rsid w:val="00850A38"/>
    <w:rsid w:val="008540E4"/>
    <w:rsid w:val="00855BF1"/>
    <w:rsid w:val="00865940"/>
    <w:rsid w:val="00865DD2"/>
    <w:rsid w:val="008726A1"/>
    <w:rsid w:val="0087414C"/>
    <w:rsid w:val="00874BC5"/>
    <w:rsid w:val="00880E15"/>
    <w:rsid w:val="00882E2A"/>
    <w:rsid w:val="00885736"/>
    <w:rsid w:val="00887D37"/>
    <w:rsid w:val="008928C1"/>
    <w:rsid w:val="00893263"/>
    <w:rsid w:val="008A4940"/>
    <w:rsid w:val="008B15E5"/>
    <w:rsid w:val="008B4BD7"/>
    <w:rsid w:val="008C269F"/>
    <w:rsid w:val="009173CE"/>
    <w:rsid w:val="009238C6"/>
    <w:rsid w:val="00925DF8"/>
    <w:rsid w:val="0092653E"/>
    <w:rsid w:val="0093007D"/>
    <w:rsid w:val="00930461"/>
    <w:rsid w:val="009305E6"/>
    <w:rsid w:val="00931FB6"/>
    <w:rsid w:val="00933DC8"/>
    <w:rsid w:val="00967F7F"/>
    <w:rsid w:val="00977CB6"/>
    <w:rsid w:val="00980A3B"/>
    <w:rsid w:val="00983286"/>
    <w:rsid w:val="00983EB1"/>
    <w:rsid w:val="00992EE3"/>
    <w:rsid w:val="009958E2"/>
    <w:rsid w:val="009A6ACA"/>
    <w:rsid w:val="009A714E"/>
    <w:rsid w:val="009B14A1"/>
    <w:rsid w:val="009C25E3"/>
    <w:rsid w:val="009C2CEB"/>
    <w:rsid w:val="009C5138"/>
    <w:rsid w:val="009D060A"/>
    <w:rsid w:val="009D1559"/>
    <w:rsid w:val="009D27D5"/>
    <w:rsid w:val="009D7E2E"/>
    <w:rsid w:val="009E1B26"/>
    <w:rsid w:val="009E64AB"/>
    <w:rsid w:val="009F7952"/>
    <w:rsid w:val="00A03807"/>
    <w:rsid w:val="00A05BBC"/>
    <w:rsid w:val="00A16090"/>
    <w:rsid w:val="00A2316C"/>
    <w:rsid w:val="00A24E64"/>
    <w:rsid w:val="00A3237E"/>
    <w:rsid w:val="00A33914"/>
    <w:rsid w:val="00A53F98"/>
    <w:rsid w:val="00A64DD1"/>
    <w:rsid w:val="00A65313"/>
    <w:rsid w:val="00A67E3B"/>
    <w:rsid w:val="00A71482"/>
    <w:rsid w:val="00A73167"/>
    <w:rsid w:val="00A85425"/>
    <w:rsid w:val="00A90FD9"/>
    <w:rsid w:val="00A938CC"/>
    <w:rsid w:val="00A9534F"/>
    <w:rsid w:val="00A964CE"/>
    <w:rsid w:val="00A9719E"/>
    <w:rsid w:val="00AA2C8E"/>
    <w:rsid w:val="00AA3E32"/>
    <w:rsid w:val="00AA3EEC"/>
    <w:rsid w:val="00AA72A7"/>
    <w:rsid w:val="00AB45D9"/>
    <w:rsid w:val="00AB6ADC"/>
    <w:rsid w:val="00AC18F8"/>
    <w:rsid w:val="00AC1AE3"/>
    <w:rsid w:val="00AC2026"/>
    <w:rsid w:val="00AC7C1F"/>
    <w:rsid w:val="00AD09F7"/>
    <w:rsid w:val="00AD2E2B"/>
    <w:rsid w:val="00AD34AD"/>
    <w:rsid w:val="00AE1380"/>
    <w:rsid w:val="00AE70C8"/>
    <w:rsid w:val="00AF29C8"/>
    <w:rsid w:val="00AF67E2"/>
    <w:rsid w:val="00AF71BF"/>
    <w:rsid w:val="00AF7C3A"/>
    <w:rsid w:val="00B0291B"/>
    <w:rsid w:val="00B04FA7"/>
    <w:rsid w:val="00B05357"/>
    <w:rsid w:val="00B07528"/>
    <w:rsid w:val="00B15AFC"/>
    <w:rsid w:val="00B16E9F"/>
    <w:rsid w:val="00B21148"/>
    <w:rsid w:val="00B24796"/>
    <w:rsid w:val="00B31444"/>
    <w:rsid w:val="00B349CB"/>
    <w:rsid w:val="00B36E2E"/>
    <w:rsid w:val="00B5043C"/>
    <w:rsid w:val="00B513E7"/>
    <w:rsid w:val="00B610A1"/>
    <w:rsid w:val="00B65860"/>
    <w:rsid w:val="00B730EE"/>
    <w:rsid w:val="00B7608E"/>
    <w:rsid w:val="00B801FB"/>
    <w:rsid w:val="00B85206"/>
    <w:rsid w:val="00B87B78"/>
    <w:rsid w:val="00BA2410"/>
    <w:rsid w:val="00BA3686"/>
    <w:rsid w:val="00BA3B40"/>
    <w:rsid w:val="00BB466B"/>
    <w:rsid w:val="00BC08B2"/>
    <w:rsid w:val="00BD0BE3"/>
    <w:rsid w:val="00BD139F"/>
    <w:rsid w:val="00BE036D"/>
    <w:rsid w:val="00BE4F19"/>
    <w:rsid w:val="00BF63B1"/>
    <w:rsid w:val="00BF78C0"/>
    <w:rsid w:val="00BF7D0C"/>
    <w:rsid w:val="00C0321D"/>
    <w:rsid w:val="00C103A0"/>
    <w:rsid w:val="00C10699"/>
    <w:rsid w:val="00C225D0"/>
    <w:rsid w:val="00C241BE"/>
    <w:rsid w:val="00C26C29"/>
    <w:rsid w:val="00C342CB"/>
    <w:rsid w:val="00C36B2A"/>
    <w:rsid w:val="00C36B53"/>
    <w:rsid w:val="00C40F3C"/>
    <w:rsid w:val="00C425D7"/>
    <w:rsid w:val="00C43A4E"/>
    <w:rsid w:val="00C44334"/>
    <w:rsid w:val="00C45D45"/>
    <w:rsid w:val="00C4760C"/>
    <w:rsid w:val="00C50D10"/>
    <w:rsid w:val="00C53CBB"/>
    <w:rsid w:val="00C6014D"/>
    <w:rsid w:val="00C61882"/>
    <w:rsid w:val="00C63B60"/>
    <w:rsid w:val="00C742C7"/>
    <w:rsid w:val="00C801A1"/>
    <w:rsid w:val="00C856BC"/>
    <w:rsid w:val="00C85F21"/>
    <w:rsid w:val="00C969FC"/>
    <w:rsid w:val="00C96A19"/>
    <w:rsid w:val="00C975BC"/>
    <w:rsid w:val="00C97BF4"/>
    <w:rsid w:val="00C97F72"/>
    <w:rsid w:val="00CA03BC"/>
    <w:rsid w:val="00CA101E"/>
    <w:rsid w:val="00CA1E4A"/>
    <w:rsid w:val="00CA32F9"/>
    <w:rsid w:val="00CB46AC"/>
    <w:rsid w:val="00CC0E33"/>
    <w:rsid w:val="00CC68F4"/>
    <w:rsid w:val="00CD1F63"/>
    <w:rsid w:val="00CD7287"/>
    <w:rsid w:val="00CF0B04"/>
    <w:rsid w:val="00CF355D"/>
    <w:rsid w:val="00CF6673"/>
    <w:rsid w:val="00CF6EE7"/>
    <w:rsid w:val="00CF79E1"/>
    <w:rsid w:val="00D04E9F"/>
    <w:rsid w:val="00D0705B"/>
    <w:rsid w:val="00D118CB"/>
    <w:rsid w:val="00D11E60"/>
    <w:rsid w:val="00D16983"/>
    <w:rsid w:val="00D360A7"/>
    <w:rsid w:val="00D377DB"/>
    <w:rsid w:val="00D42453"/>
    <w:rsid w:val="00D42B07"/>
    <w:rsid w:val="00D437D1"/>
    <w:rsid w:val="00D44343"/>
    <w:rsid w:val="00D500A3"/>
    <w:rsid w:val="00D55FFA"/>
    <w:rsid w:val="00D61278"/>
    <w:rsid w:val="00D6312C"/>
    <w:rsid w:val="00D63C43"/>
    <w:rsid w:val="00D64E37"/>
    <w:rsid w:val="00D721C5"/>
    <w:rsid w:val="00D73050"/>
    <w:rsid w:val="00D82DE0"/>
    <w:rsid w:val="00D833C2"/>
    <w:rsid w:val="00D8400A"/>
    <w:rsid w:val="00D85AD0"/>
    <w:rsid w:val="00DA53F8"/>
    <w:rsid w:val="00DB2ECE"/>
    <w:rsid w:val="00DC2AAA"/>
    <w:rsid w:val="00DD1AA7"/>
    <w:rsid w:val="00DD1BEA"/>
    <w:rsid w:val="00DD55E4"/>
    <w:rsid w:val="00DD6BF7"/>
    <w:rsid w:val="00DE3888"/>
    <w:rsid w:val="00DF06E5"/>
    <w:rsid w:val="00DF2425"/>
    <w:rsid w:val="00E04D89"/>
    <w:rsid w:val="00E0520F"/>
    <w:rsid w:val="00E11B7F"/>
    <w:rsid w:val="00E122E3"/>
    <w:rsid w:val="00E14821"/>
    <w:rsid w:val="00E14A2B"/>
    <w:rsid w:val="00E16280"/>
    <w:rsid w:val="00E31C45"/>
    <w:rsid w:val="00E3286A"/>
    <w:rsid w:val="00E3345C"/>
    <w:rsid w:val="00E56A31"/>
    <w:rsid w:val="00E618EC"/>
    <w:rsid w:val="00E6742E"/>
    <w:rsid w:val="00E713B7"/>
    <w:rsid w:val="00E71FC3"/>
    <w:rsid w:val="00E82499"/>
    <w:rsid w:val="00E912C0"/>
    <w:rsid w:val="00EA2E31"/>
    <w:rsid w:val="00EA462D"/>
    <w:rsid w:val="00EA4B86"/>
    <w:rsid w:val="00EB4E91"/>
    <w:rsid w:val="00ED188D"/>
    <w:rsid w:val="00ED21F5"/>
    <w:rsid w:val="00EF0809"/>
    <w:rsid w:val="00EF3396"/>
    <w:rsid w:val="00EF6730"/>
    <w:rsid w:val="00EF78F8"/>
    <w:rsid w:val="00F031DE"/>
    <w:rsid w:val="00F05B2D"/>
    <w:rsid w:val="00F120F2"/>
    <w:rsid w:val="00F12F60"/>
    <w:rsid w:val="00F16A4E"/>
    <w:rsid w:val="00F212F4"/>
    <w:rsid w:val="00F22159"/>
    <w:rsid w:val="00F245D5"/>
    <w:rsid w:val="00F369AD"/>
    <w:rsid w:val="00F429A5"/>
    <w:rsid w:val="00F45A79"/>
    <w:rsid w:val="00F47C2B"/>
    <w:rsid w:val="00F559B9"/>
    <w:rsid w:val="00F654FF"/>
    <w:rsid w:val="00F731BD"/>
    <w:rsid w:val="00F74A8E"/>
    <w:rsid w:val="00F84C01"/>
    <w:rsid w:val="00F86144"/>
    <w:rsid w:val="00F9594B"/>
    <w:rsid w:val="00F97952"/>
    <w:rsid w:val="00FA1041"/>
    <w:rsid w:val="00FA3EC1"/>
    <w:rsid w:val="00FA42D8"/>
    <w:rsid w:val="00FA4F84"/>
    <w:rsid w:val="00FB1DA9"/>
    <w:rsid w:val="00FC19E0"/>
    <w:rsid w:val="00FD1703"/>
    <w:rsid w:val="00FE03D8"/>
    <w:rsid w:val="00FE287B"/>
    <w:rsid w:val="00FE4EE3"/>
    <w:rsid w:val="00FF1C43"/>
    <w:rsid w:val="00FF66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230FB"/>
  <w15:docId w15:val="{2A5259C8-53A4-4DA7-B75E-AE580E92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949"/>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445949"/>
    <w:pPr>
      <w:tabs>
        <w:tab w:val="left" w:pos="1134"/>
        <w:tab w:val="left" w:pos="1984"/>
        <w:tab w:val="left" w:pos="2835"/>
        <w:tab w:val="left" w:pos="4819"/>
        <w:tab w:val="left" w:pos="7937"/>
      </w:tabs>
      <w:spacing w:line="360" w:lineRule="auto"/>
    </w:pPr>
    <w:rPr>
      <w:lang w:val="en-GB"/>
    </w:rPr>
  </w:style>
  <w:style w:type="character" w:customStyle="1" w:styleId="BrdtextChar">
    <w:name w:val="Brödtext Char"/>
    <w:basedOn w:val="Standardstycketeckensnitt"/>
    <w:link w:val="Brdtext"/>
    <w:rsid w:val="00445949"/>
    <w:rPr>
      <w:rFonts w:ascii="Times New Roman" w:eastAsia="Times New Roman" w:hAnsi="Times New Roman" w:cs="Times New Roman"/>
      <w:sz w:val="24"/>
      <w:szCs w:val="24"/>
      <w:lang w:val="en-GB" w:eastAsia="sv-SE"/>
    </w:rPr>
  </w:style>
  <w:style w:type="paragraph" w:styleId="Sidhuvud">
    <w:name w:val="header"/>
    <w:basedOn w:val="Normal"/>
    <w:link w:val="SidhuvudChar"/>
    <w:rsid w:val="00445949"/>
    <w:pPr>
      <w:tabs>
        <w:tab w:val="center" w:pos="4536"/>
        <w:tab w:val="right" w:pos="9072"/>
      </w:tabs>
    </w:pPr>
  </w:style>
  <w:style w:type="character" w:customStyle="1" w:styleId="SidhuvudChar">
    <w:name w:val="Sidhuvud Char"/>
    <w:basedOn w:val="Standardstycketeckensnitt"/>
    <w:link w:val="Sidhuvud"/>
    <w:rsid w:val="00445949"/>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6C4D14"/>
    <w:pPr>
      <w:ind w:left="720"/>
      <w:contextualSpacing/>
    </w:pPr>
  </w:style>
  <w:style w:type="paragraph" w:styleId="Sidfot">
    <w:name w:val="footer"/>
    <w:basedOn w:val="Normal"/>
    <w:link w:val="SidfotChar"/>
    <w:uiPriority w:val="99"/>
    <w:unhideWhenUsed/>
    <w:rsid w:val="00865940"/>
    <w:pPr>
      <w:tabs>
        <w:tab w:val="center" w:pos="4536"/>
        <w:tab w:val="right" w:pos="9072"/>
      </w:tabs>
    </w:pPr>
  </w:style>
  <w:style w:type="character" w:customStyle="1" w:styleId="SidfotChar">
    <w:name w:val="Sidfot Char"/>
    <w:basedOn w:val="Standardstycketeckensnitt"/>
    <w:link w:val="Sidfot"/>
    <w:uiPriority w:val="99"/>
    <w:rsid w:val="00865940"/>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3C6BD1"/>
    <w:rPr>
      <w:sz w:val="16"/>
      <w:szCs w:val="16"/>
    </w:rPr>
  </w:style>
  <w:style w:type="paragraph" w:styleId="Kommentarer">
    <w:name w:val="annotation text"/>
    <w:basedOn w:val="Normal"/>
    <w:link w:val="KommentarerChar"/>
    <w:uiPriority w:val="99"/>
    <w:semiHidden/>
    <w:unhideWhenUsed/>
    <w:rsid w:val="003C6BD1"/>
    <w:rPr>
      <w:sz w:val="20"/>
      <w:szCs w:val="20"/>
    </w:rPr>
  </w:style>
  <w:style w:type="character" w:customStyle="1" w:styleId="KommentarerChar">
    <w:name w:val="Kommentarer Char"/>
    <w:basedOn w:val="Standardstycketeckensnitt"/>
    <w:link w:val="Kommentarer"/>
    <w:uiPriority w:val="99"/>
    <w:semiHidden/>
    <w:rsid w:val="003C6BD1"/>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C6BD1"/>
    <w:rPr>
      <w:b/>
      <w:bCs/>
    </w:rPr>
  </w:style>
  <w:style w:type="character" w:customStyle="1" w:styleId="KommentarsmneChar">
    <w:name w:val="Kommentarsämne Char"/>
    <w:basedOn w:val="KommentarerChar"/>
    <w:link w:val="Kommentarsmne"/>
    <w:uiPriority w:val="99"/>
    <w:semiHidden/>
    <w:rsid w:val="003C6BD1"/>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3C6BD1"/>
    <w:rPr>
      <w:rFonts w:ascii="Tahoma" w:hAnsi="Tahoma" w:cs="Tahoma"/>
      <w:sz w:val="16"/>
      <w:szCs w:val="16"/>
    </w:rPr>
  </w:style>
  <w:style w:type="character" w:customStyle="1" w:styleId="BallongtextChar">
    <w:name w:val="Ballongtext Char"/>
    <w:basedOn w:val="Standardstycketeckensnitt"/>
    <w:link w:val="Ballongtext"/>
    <w:uiPriority w:val="99"/>
    <w:semiHidden/>
    <w:rsid w:val="003C6BD1"/>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956861">
      <w:bodyDiv w:val="1"/>
      <w:marLeft w:val="0"/>
      <w:marRight w:val="0"/>
      <w:marTop w:val="0"/>
      <w:marBottom w:val="0"/>
      <w:divBdr>
        <w:top w:val="none" w:sz="0" w:space="0" w:color="auto"/>
        <w:left w:val="none" w:sz="0" w:space="0" w:color="auto"/>
        <w:bottom w:val="none" w:sz="0" w:space="0" w:color="auto"/>
        <w:right w:val="none" w:sz="0" w:space="0" w:color="auto"/>
      </w:divBdr>
    </w:div>
    <w:div w:id="1117063372">
      <w:bodyDiv w:val="1"/>
      <w:marLeft w:val="0"/>
      <w:marRight w:val="0"/>
      <w:marTop w:val="0"/>
      <w:marBottom w:val="0"/>
      <w:divBdr>
        <w:top w:val="none" w:sz="0" w:space="0" w:color="auto"/>
        <w:left w:val="none" w:sz="0" w:space="0" w:color="auto"/>
        <w:bottom w:val="none" w:sz="0" w:space="0" w:color="auto"/>
        <w:right w:val="none" w:sz="0" w:space="0" w:color="auto"/>
      </w:divBdr>
    </w:div>
    <w:div w:id="20106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BAF14-C138-4A9A-A89E-551BE4A5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999</Words>
  <Characters>5299</Characters>
  <Application>Microsoft Office Word</Application>
  <DocSecurity>0</DocSecurity>
  <Lines>44</Lines>
  <Paragraphs>12</Paragraphs>
  <ScaleCrop>false</ScaleCrop>
  <HeadingPairs>
    <vt:vector size="2" baseType="variant">
      <vt:variant>
        <vt:lpstr>Rubrik</vt:lpstr>
      </vt:variant>
      <vt:variant>
        <vt:i4>1</vt:i4>
      </vt:variant>
    </vt:vector>
  </HeadingPair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2024-05-24T14:26:00Z</dcterms:created>
  <dcterms:modified xsi:type="dcterms:W3CDTF">2024-05-24T14:26:00Z</dcterms:modified>
</cp:coreProperties>
</file>